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6ABC" w:rsidRDefault="00146ABC" w:rsidP="00685E7E">
      <w:pPr>
        <w:spacing w:after="0" w:line="480" w:lineRule="auto"/>
        <w:contextualSpacing/>
        <w:rPr>
          <w:rFonts w:ascii="Times New Roman" w:hAnsi="Times New Roman" w:cs="Times New Roman"/>
          <w:sz w:val="24"/>
          <w:szCs w:val="24"/>
        </w:rPr>
      </w:pPr>
    </w:p>
    <w:p w:rsidR="00146ABC" w:rsidRDefault="00146ABC" w:rsidP="00685E7E">
      <w:pPr>
        <w:spacing w:after="0" w:line="480" w:lineRule="auto"/>
        <w:contextualSpacing/>
        <w:rPr>
          <w:rFonts w:ascii="Times New Roman" w:hAnsi="Times New Roman" w:cs="Times New Roman"/>
          <w:sz w:val="24"/>
          <w:szCs w:val="24"/>
        </w:rPr>
      </w:pPr>
    </w:p>
    <w:p w:rsidR="00146ABC" w:rsidRDefault="00146ABC" w:rsidP="00685E7E">
      <w:pPr>
        <w:spacing w:after="0" w:line="480" w:lineRule="auto"/>
        <w:contextualSpacing/>
        <w:rPr>
          <w:rFonts w:ascii="Times New Roman" w:hAnsi="Times New Roman" w:cs="Times New Roman"/>
          <w:sz w:val="24"/>
          <w:szCs w:val="24"/>
        </w:rPr>
      </w:pPr>
    </w:p>
    <w:p w:rsidR="00146ABC" w:rsidRDefault="00146ABC" w:rsidP="00685E7E">
      <w:pPr>
        <w:spacing w:after="0" w:line="480" w:lineRule="auto"/>
        <w:contextualSpacing/>
        <w:rPr>
          <w:rFonts w:ascii="Times New Roman" w:hAnsi="Times New Roman" w:cs="Times New Roman"/>
          <w:sz w:val="24"/>
          <w:szCs w:val="24"/>
        </w:rPr>
      </w:pPr>
    </w:p>
    <w:p w:rsidR="00146ABC" w:rsidRDefault="00146ABC" w:rsidP="00685E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Bonner Company Case Study</w:t>
      </w:r>
    </w:p>
    <w:p w:rsidR="00146ABC" w:rsidRDefault="00146ABC" w:rsidP="00685E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146ABC" w:rsidRDefault="00146ABC" w:rsidP="00685E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146ABC" w:rsidRDefault="00146ABC" w:rsidP="00685E7E">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p>
    <w:p w:rsidR="00146ABC" w:rsidRDefault="00146ABC" w:rsidP="00685E7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Bonner Company Case Study</w:t>
      </w:r>
    </w:p>
    <w:p w:rsidR="00146ABC" w:rsidRPr="00146ABC" w:rsidRDefault="00146ABC" w:rsidP="00685E7E">
      <w:pPr>
        <w:spacing w:after="0" w:line="480" w:lineRule="auto"/>
        <w:contextualSpacing/>
        <w:jc w:val="center"/>
        <w:rPr>
          <w:rFonts w:ascii="Times New Roman" w:hAnsi="Times New Roman" w:cs="Times New Roman"/>
          <w:b/>
          <w:sz w:val="24"/>
          <w:szCs w:val="24"/>
        </w:rPr>
      </w:pPr>
      <w:r w:rsidRPr="00146ABC">
        <w:rPr>
          <w:rFonts w:ascii="Times New Roman" w:hAnsi="Times New Roman" w:cs="Times New Roman"/>
          <w:b/>
          <w:sz w:val="24"/>
          <w:szCs w:val="24"/>
        </w:rPr>
        <w:t>Bonner as the Owner of the Invention</w:t>
      </w:r>
    </w:p>
    <w:p w:rsidR="00146ABC" w:rsidRPr="00146ABC" w:rsidRDefault="00AA23F0" w:rsidP="00685E7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Bonner owns</w:t>
      </w:r>
      <w:r w:rsidR="00146ABC" w:rsidRPr="00146ABC">
        <w:rPr>
          <w:rFonts w:ascii="Times New Roman" w:hAnsi="Times New Roman" w:cs="Times New Roman"/>
          <w:sz w:val="24"/>
          <w:szCs w:val="24"/>
        </w:rPr>
        <w:t xml:space="preserve"> the invention since the intervention is developed solely by Bonner’s engineers. The tractor has not yet been released. The case proves that Bonner wholly owns the tractor invention with the statement that </w:t>
      </w:r>
      <w:r>
        <w:rPr>
          <w:rFonts w:ascii="Times New Roman" w:hAnsi="Times New Roman" w:cs="Times New Roman"/>
          <w:sz w:val="24"/>
          <w:szCs w:val="24"/>
        </w:rPr>
        <w:t>the company had announced the new tractor, which was build using technology developed by its engineers.</w:t>
      </w:r>
      <w:r w:rsidR="00146ABC" w:rsidRPr="00146ABC">
        <w:rPr>
          <w:rFonts w:ascii="Times New Roman" w:hAnsi="Times New Roman" w:cs="Times New Roman"/>
          <w:sz w:val="24"/>
          <w:szCs w:val="24"/>
        </w:rPr>
        <w:t xml:space="preserve"> </w:t>
      </w:r>
    </w:p>
    <w:p w:rsidR="00146ABC" w:rsidRPr="00146ABC" w:rsidRDefault="00146ABC" w:rsidP="00685E7E">
      <w:pPr>
        <w:spacing w:after="0" w:line="480" w:lineRule="auto"/>
        <w:contextualSpacing/>
        <w:jc w:val="center"/>
        <w:rPr>
          <w:rFonts w:ascii="Times New Roman" w:hAnsi="Times New Roman" w:cs="Times New Roman"/>
          <w:b/>
          <w:sz w:val="24"/>
          <w:szCs w:val="24"/>
        </w:rPr>
      </w:pPr>
      <w:r w:rsidRPr="00146ABC">
        <w:rPr>
          <w:rFonts w:ascii="Times New Roman" w:hAnsi="Times New Roman" w:cs="Times New Roman"/>
          <w:b/>
          <w:sz w:val="24"/>
          <w:szCs w:val="24"/>
        </w:rPr>
        <w:t>Intellectual Property Rights Owned by Bonner</w:t>
      </w:r>
    </w:p>
    <w:p w:rsidR="00146ABC" w:rsidRPr="00146ABC" w:rsidRDefault="00146ABC" w:rsidP="00685E7E">
      <w:pPr>
        <w:spacing w:after="0" w:line="480" w:lineRule="auto"/>
        <w:ind w:firstLine="720"/>
        <w:contextualSpacing/>
        <w:rPr>
          <w:rFonts w:ascii="Times New Roman" w:hAnsi="Times New Roman" w:cs="Times New Roman"/>
          <w:sz w:val="24"/>
          <w:szCs w:val="24"/>
        </w:rPr>
      </w:pPr>
      <w:r w:rsidRPr="00146ABC">
        <w:rPr>
          <w:rFonts w:ascii="Times New Roman" w:hAnsi="Times New Roman" w:cs="Times New Roman"/>
          <w:sz w:val="24"/>
          <w:szCs w:val="24"/>
        </w:rPr>
        <w:t xml:space="preserve">According to WIPO (2019), intellectual property </w:t>
      </w:r>
      <w:r w:rsidR="00AA23F0">
        <w:rPr>
          <w:rFonts w:ascii="Times New Roman" w:hAnsi="Times New Roman" w:cs="Times New Roman"/>
          <w:sz w:val="24"/>
          <w:szCs w:val="24"/>
        </w:rPr>
        <w:t>(IP) can be defined as</w:t>
      </w:r>
      <w:r w:rsidRPr="00146ABC">
        <w:rPr>
          <w:rFonts w:ascii="Times New Roman" w:hAnsi="Times New Roman" w:cs="Times New Roman"/>
          <w:sz w:val="24"/>
          <w:szCs w:val="24"/>
        </w:rPr>
        <w:t xml:space="preserve"> the original creations of the mind</w:t>
      </w:r>
      <w:r w:rsidR="00AA23F0">
        <w:rPr>
          <w:rFonts w:ascii="Times New Roman" w:hAnsi="Times New Roman" w:cs="Times New Roman"/>
          <w:sz w:val="24"/>
          <w:szCs w:val="24"/>
        </w:rPr>
        <w:t>. Such creation can be in form of</w:t>
      </w:r>
      <w:r w:rsidRPr="00146ABC">
        <w:rPr>
          <w:rFonts w:ascii="Times New Roman" w:hAnsi="Times New Roman" w:cs="Times New Roman"/>
          <w:sz w:val="24"/>
          <w:szCs w:val="24"/>
        </w:rPr>
        <w:t xml:space="preserve"> inventio</w:t>
      </w:r>
      <w:r w:rsidR="00AA23F0">
        <w:rPr>
          <w:rFonts w:ascii="Times New Roman" w:hAnsi="Times New Roman" w:cs="Times New Roman"/>
          <w:sz w:val="24"/>
          <w:szCs w:val="24"/>
        </w:rPr>
        <w:t xml:space="preserve">ns </w:t>
      </w:r>
      <w:r w:rsidRPr="00146ABC">
        <w:rPr>
          <w:rFonts w:ascii="Times New Roman" w:hAnsi="Times New Roman" w:cs="Times New Roman"/>
          <w:sz w:val="24"/>
          <w:szCs w:val="24"/>
        </w:rPr>
        <w:t>as well as designs and symbols. These rights are protected in law by patents, copyrights, and trademarks, enabling the owners to earn either recognition or financial benefits for their creation (WIPO, 2019). In this regard, the purchase of 100,000 shares of Bonner’s shares by its Vice President before the release of their new tractor qualifies the vice president to be taken through the alternative dispute resolution (ADR) with Boner. According to the WIPO (2019), Bonner owns the patent, which gives it the right to be compensated by civil damages and criminal penalties by anybody who infringes this right. For instance, the purchase by the Vice president before the release is an infringement of the patent rights. The tractor was created through the creativity of Boner’s engineers, thereby qualifying as the original creativity of the mind. The invention thereby makes it possible to acquire patent rights.</w:t>
      </w:r>
    </w:p>
    <w:p w:rsidR="00146ABC" w:rsidRPr="00146ABC" w:rsidRDefault="00146ABC" w:rsidP="00685E7E">
      <w:pPr>
        <w:spacing w:after="0" w:line="480" w:lineRule="auto"/>
        <w:contextualSpacing/>
        <w:jc w:val="center"/>
        <w:rPr>
          <w:rFonts w:ascii="Times New Roman" w:hAnsi="Times New Roman" w:cs="Times New Roman"/>
          <w:b/>
          <w:sz w:val="24"/>
          <w:szCs w:val="24"/>
        </w:rPr>
      </w:pPr>
      <w:r w:rsidRPr="00146ABC">
        <w:rPr>
          <w:rFonts w:ascii="Times New Roman" w:hAnsi="Times New Roman" w:cs="Times New Roman"/>
          <w:b/>
          <w:sz w:val="24"/>
          <w:szCs w:val="24"/>
        </w:rPr>
        <w:t>Dispute Resolution Method</w:t>
      </w:r>
    </w:p>
    <w:p w:rsidR="00146ABC" w:rsidRPr="00146ABC" w:rsidRDefault="00146ABC" w:rsidP="00685E7E">
      <w:pPr>
        <w:spacing w:after="0" w:line="480" w:lineRule="auto"/>
        <w:ind w:firstLine="720"/>
        <w:contextualSpacing/>
        <w:rPr>
          <w:rFonts w:ascii="Times New Roman" w:hAnsi="Times New Roman" w:cs="Times New Roman"/>
          <w:sz w:val="24"/>
          <w:szCs w:val="24"/>
        </w:rPr>
      </w:pPr>
      <w:r w:rsidRPr="00146ABC">
        <w:rPr>
          <w:rFonts w:ascii="Times New Roman" w:hAnsi="Times New Roman" w:cs="Times New Roman"/>
          <w:sz w:val="24"/>
          <w:szCs w:val="24"/>
        </w:rPr>
        <w:t>The most appropriate dispute resolution method is the WIPO Dispute Resolution. This is a worldwide resolution approach which offers cost-effective and quick resolution procedures for conflicts involving intellectual property (WIPO, 2019). The first reason why this method is the most suitable is that the two companies are from two different jurisdictions. The WIPO’s ADR provides a single forum for settling disputes from different jurisdictions</w:t>
      </w:r>
      <w:r w:rsidR="00AA23F0">
        <w:rPr>
          <w:rFonts w:ascii="Times New Roman" w:hAnsi="Times New Roman" w:cs="Times New Roman"/>
          <w:sz w:val="24"/>
          <w:szCs w:val="24"/>
        </w:rPr>
        <w:t xml:space="preserve"> (WI</w:t>
      </w:r>
      <w:r w:rsidRPr="00146ABC">
        <w:rPr>
          <w:rFonts w:ascii="Times New Roman" w:hAnsi="Times New Roman" w:cs="Times New Roman"/>
          <w:sz w:val="24"/>
          <w:szCs w:val="24"/>
        </w:rPr>
        <w:t>PO, 2019). Secondly, the ADR provides for mitigation, arbitration, expedited arbitration as well as expert determination. These offer expertise, thereby achieving high-quality outcomes, at the same time limiting the time and costs the two parties will incur if they choose the court system (WIPO, 2019). Besides, the ARD is a confidential approach, which further improves the integrity of the solutions arrived at using the WIPO approach. It is essential to hold the resolutions online since the WIPO approach allows for a resolution to be conducted anywhere. Avoiding travel expenses, the resolution should be conducted online.</w:t>
      </w:r>
    </w:p>
    <w:p w:rsidR="00146ABC" w:rsidRPr="00146ABC" w:rsidRDefault="00146ABC" w:rsidP="00146ABC">
      <w:pPr>
        <w:spacing w:line="480" w:lineRule="auto"/>
        <w:rPr>
          <w:rFonts w:ascii="Times New Roman" w:hAnsi="Times New Roman" w:cs="Times New Roman"/>
          <w:sz w:val="24"/>
          <w:szCs w:val="24"/>
        </w:rPr>
      </w:pPr>
      <w:r w:rsidRPr="00146ABC">
        <w:rPr>
          <w:rFonts w:ascii="Times New Roman" w:hAnsi="Times New Roman" w:cs="Times New Roman"/>
          <w:sz w:val="24"/>
          <w:szCs w:val="24"/>
        </w:rPr>
        <w:br w:type="page"/>
      </w:r>
    </w:p>
    <w:p w:rsidR="00753710" w:rsidRPr="00146ABC" w:rsidRDefault="00146ABC" w:rsidP="00685E7E">
      <w:pPr>
        <w:spacing w:after="0" w:line="480" w:lineRule="auto"/>
        <w:contextualSpacing/>
        <w:jc w:val="center"/>
        <w:rPr>
          <w:rFonts w:ascii="Times New Roman" w:hAnsi="Times New Roman" w:cs="Times New Roman"/>
          <w:sz w:val="24"/>
          <w:szCs w:val="24"/>
        </w:rPr>
      </w:pPr>
      <w:r w:rsidRPr="00146ABC">
        <w:rPr>
          <w:rFonts w:ascii="Times New Roman" w:hAnsi="Times New Roman" w:cs="Times New Roman"/>
          <w:sz w:val="24"/>
          <w:szCs w:val="24"/>
        </w:rPr>
        <w:t>References</w:t>
      </w:r>
    </w:p>
    <w:p w:rsidR="00A42D13" w:rsidRPr="00685E7E" w:rsidRDefault="00D64DC0" w:rsidP="00685E7E">
      <w:pPr>
        <w:spacing w:after="0" w:line="480" w:lineRule="auto"/>
        <w:ind w:left="720" w:hanging="720"/>
        <w:contextualSpacing/>
        <w:rPr>
          <w:rFonts w:ascii="Times New Roman" w:hAnsi="Times New Roman" w:cs="Times New Roman"/>
          <w:sz w:val="24"/>
          <w:szCs w:val="24"/>
        </w:rPr>
      </w:pPr>
      <w:r w:rsidRPr="00685E7E">
        <w:rPr>
          <w:rFonts w:ascii="Times New Roman" w:hAnsi="Times New Roman" w:cs="Times New Roman"/>
          <w:sz w:val="24"/>
          <w:szCs w:val="24"/>
        </w:rPr>
        <w:t xml:space="preserve">WIPO. (2019). WIPO alternative dispute resolution – saving time and money in IP disputes. </w:t>
      </w:r>
      <w:r w:rsidR="00146ABC" w:rsidRPr="00685E7E">
        <w:rPr>
          <w:rFonts w:ascii="Times New Roman" w:hAnsi="Times New Roman" w:cs="Times New Roman"/>
          <w:sz w:val="24"/>
          <w:szCs w:val="24"/>
        </w:rPr>
        <w:tab/>
      </w:r>
      <w:r w:rsidRPr="00685E7E">
        <w:rPr>
          <w:rFonts w:ascii="Times New Roman" w:hAnsi="Times New Roman" w:cs="Times New Roman"/>
          <w:i/>
          <w:iCs/>
          <w:sz w:val="24"/>
          <w:szCs w:val="24"/>
        </w:rPr>
        <w:t>Retrieved from</w:t>
      </w:r>
      <w:r w:rsidRPr="00685E7E">
        <w:rPr>
          <w:rFonts w:ascii="Times New Roman" w:hAnsi="Times New Roman" w:cs="Times New Roman"/>
          <w:sz w:val="24"/>
          <w:szCs w:val="24"/>
        </w:rPr>
        <w:t xml:space="preserve"> </w:t>
      </w:r>
      <w:hyperlink r:id="rId8" w:history="1">
        <w:r w:rsidRPr="00685E7E">
          <w:rPr>
            <w:rStyle w:val="Hyperlink"/>
            <w:rFonts w:ascii="Times New Roman" w:hAnsi="Times New Roman" w:cs="Times New Roman"/>
            <w:color w:val="auto"/>
            <w:sz w:val="24"/>
            <w:szCs w:val="24"/>
          </w:rPr>
          <w:t>https://www.wipo.int/wipo_magazine/en/2016/si/article_0010.html</w:t>
        </w:r>
      </w:hyperlink>
    </w:p>
    <w:p w:rsidR="00146ABC" w:rsidRPr="00685E7E" w:rsidRDefault="00146ABC" w:rsidP="00685E7E">
      <w:pPr>
        <w:spacing w:after="0" w:line="480" w:lineRule="auto"/>
        <w:ind w:left="720" w:hanging="720"/>
        <w:contextualSpacing/>
        <w:rPr>
          <w:rFonts w:ascii="Times New Roman" w:hAnsi="Times New Roman" w:cs="Times New Roman"/>
          <w:sz w:val="24"/>
          <w:szCs w:val="24"/>
        </w:rPr>
      </w:pPr>
      <w:r w:rsidRPr="00685E7E">
        <w:rPr>
          <w:rFonts w:ascii="Times New Roman" w:hAnsi="Times New Roman" w:cs="Times New Roman"/>
          <w:sz w:val="24"/>
          <w:szCs w:val="24"/>
        </w:rPr>
        <w:t xml:space="preserve">WIPO. (2019). What is Intellectual Property? </w:t>
      </w:r>
      <w:r w:rsidRPr="00685E7E">
        <w:rPr>
          <w:rFonts w:ascii="Times New Roman" w:hAnsi="Times New Roman" w:cs="Times New Roman"/>
          <w:i/>
          <w:sz w:val="24"/>
          <w:szCs w:val="24"/>
        </w:rPr>
        <w:t>Retrieved from</w:t>
      </w:r>
      <w:r w:rsidRPr="00685E7E">
        <w:rPr>
          <w:rFonts w:ascii="Times New Roman" w:hAnsi="Times New Roman" w:cs="Times New Roman"/>
          <w:sz w:val="24"/>
          <w:szCs w:val="24"/>
        </w:rPr>
        <w:t xml:space="preserve"> </w:t>
      </w:r>
      <w:hyperlink r:id="rId9" w:history="1">
        <w:r w:rsidRPr="00685E7E">
          <w:rPr>
            <w:rStyle w:val="Hyperlink"/>
            <w:rFonts w:ascii="Times New Roman" w:hAnsi="Times New Roman" w:cs="Times New Roman"/>
            <w:color w:val="auto"/>
            <w:sz w:val="24"/>
            <w:szCs w:val="24"/>
          </w:rPr>
          <w:t>https://www.wipo.int/about-ip/en/</w:t>
        </w:r>
      </w:hyperlink>
    </w:p>
    <w:sectPr w:rsidR="00146ABC" w:rsidRPr="00685E7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2915" w:rsidRDefault="00582915" w:rsidP="00146ABC">
      <w:pPr>
        <w:spacing w:after="0" w:line="240" w:lineRule="auto"/>
      </w:pPr>
      <w:r>
        <w:separator/>
      </w:r>
    </w:p>
  </w:endnote>
  <w:endnote w:type="continuationSeparator" w:id="0">
    <w:p w:rsidR="00582915" w:rsidRDefault="00582915" w:rsidP="00146A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2915" w:rsidRDefault="00582915" w:rsidP="00146ABC">
      <w:pPr>
        <w:spacing w:after="0" w:line="240" w:lineRule="auto"/>
      </w:pPr>
      <w:r>
        <w:separator/>
      </w:r>
    </w:p>
  </w:footnote>
  <w:footnote w:type="continuationSeparator" w:id="0">
    <w:p w:rsidR="00582915" w:rsidRDefault="00582915" w:rsidP="00146AB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ABC" w:rsidRPr="00146ABC" w:rsidRDefault="00146ABC">
    <w:pPr>
      <w:pStyle w:val="Header"/>
      <w:jc w:val="right"/>
      <w:rPr>
        <w:rFonts w:ascii="Times New Roman" w:hAnsi="Times New Roman" w:cs="Times New Roman"/>
        <w:sz w:val="24"/>
        <w:szCs w:val="24"/>
      </w:rPr>
    </w:pPr>
    <w:r w:rsidRPr="00146ABC">
      <w:rPr>
        <w:rFonts w:ascii="Times New Roman" w:hAnsi="Times New Roman" w:cs="Times New Roman"/>
        <w:sz w:val="24"/>
        <w:szCs w:val="24"/>
      </w:rPr>
      <w:t>Running head: BONNER CASE STUDY</w:t>
    </w:r>
    <w:r w:rsidRPr="00146ABC">
      <w:rPr>
        <w:rFonts w:ascii="Times New Roman" w:hAnsi="Times New Roman" w:cs="Times New Roman"/>
        <w:sz w:val="24"/>
        <w:szCs w:val="24"/>
      </w:rPr>
      <w:tab/>
    </w:r>
    <w:r w:rsidRPr="00146ABC">
      <w:rPr>
        <w:rFonts w:ascii="Times New Roman" w:hAnsi="Times New Roman" w:cs="Times New Roman"/>
        <w:sz w:val="24"/>
        <w:szCs w:val="24"/>
      </w:rPr>
      <w:tab/>
    </w:r>
    <w:sdt>
      <w:sdtPr>
        <w:rPr>
          <w:rFonts w:ascii="Times New Roman" w:hAnsi="Times New Roman" w:cs="Times New Roman"/>
          <w:sz w:val="24"/>
          <w:szCs w:val="24"/>
        </w:rPr>
        <w:id w:val="1496002056"/>
        <w:docPartObj>
          <w:docPartGallery w:val="Page Numbers (Top of Page)"/>
          <w:docPartUnique/>
        </w:docPartObj>
      </w:sdtPr>
      <w:sdtEndPr>
        <w:rPr>
          <w:noProof/>
        </w:rPr>
      </w:sdtEndPr>
      <w:sdtContent>
        <w:r w:rsidRPr="00146ABC">
          <w:rPr>
            <w:rFonts w:ascii="Times New Roman" w:hAnsi="Times New Roman" w:cs="Times New Roman"/>
            <w:sz w:val="24"/>
            <w:szCs w:val="24"/>
          </w:rPr>
          <w:fldChar w:fldCharType="begin"/>
        </w:r>
        <w:r w:rsidRPr="00146ABC">
          <w:rPr>
            <w:rFonts w:ascii="Times New Roman" w:hAnsi="Times New Roman" w:cs="Times New Roman"/>
            <w:sz w:val="24"/>
            <w:szCs w:val="24"/>
          </w:rPr>
          <w:instrText xml:space="preserve"> PAGE   \* MERGEFORMAT </w:instrText>
        </w:r>
        <w:r w:rsidRPr="00146ABC">
          <w:rPr>
            <w:rFonts w:ascii="Times New Roman" w:hAnsi="Times New Roman" w:cs="Times New Roman"/>
            <w:sz w:val="24"/>
            <w:szCs w:val="24"/>
          </w:rPr>
          <w:fldChar w:fldCharType="separate"/>
        </w:r>
        <w:r w:rsidR="00582915">
          <w:rPr>
            <w:rFonts w:ascii="Times New Roman" w:hAnsi="Times New Roman" w:cs="Times New Roman"/>
            <w:noProof/>
            <w:sz w:val="24"/>
            <w:szCs w:val="24"/>
          </w:rPr>
          <w:t>1</w:t>
        </w:r>
        <w:r w:rsidRPr="00146ABC">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877F68"/>
    <w:multiLevelType w:val="hybridMultilevel"/>
    <w:tmpl w:val="FD96F9EC"/>
    <w:lvl w:ilvl="0" w:tplc="8B388572">
      <w:start w:val="1"/>
      <w:numFmt w:val="bullet"/>
      <w:lvlText w:val="•"/>
      <w:lvlJc w:val="left"/>
      <w:pPr>
        <w:tabs>
          <w:tab w:val="num" w:pos="720"/>
        </w:tabs>
        <w:ind w:left="720" w:hanging="360"/>
      </w:pPr>
      <w:rPr>
        <w:rFonts w:ascii="Arial" w:hAnsi="Arial" w:hint="default"/>
      </w:rPr>
    </w:lvl>
    <w:lvl w:ilvl="1" w:tplc="D9B6B702" w:tentative="1">
      <w:start w:val="1"/>
      <w:numFmt w:val="bullet"/>
      <w:lvlText w:val="•"/>
      <w:lvlJc w:val="left"/>
      <w:pPr>
        <w:tabs>
          <w:tab w:val="num" w:pos="1440"/>
        </w:tabs>
        <w:ind w:left="1440" w:hanging="360"/>
      </w:pPr>
      <w:rPr>
        <w:rFonts w:ascii="Arial" w:hAnsi="Arial" w:hint="default"/>
      </w:rPr>
    </w:lvl>
    <w:lvl w:ilvl="2" w:tplc="6F1C0D80" w:tentative="1">
      <w:start w:val="1"/>
      <w:numFmt w:val="bullet"/>
      <w:lvlText w:val="•"/>
      <w:lvlJc w:val="left"/>
      <w:pPr>
        <w:tabs>
          <w:tab w:val="num" w:pos="2160"/>
        </w:tabs>
        <w:ind w:left="2160" w:hanging="360"/>
      </w:pPr>
      <w:rPr>
        <w:rFonts w:ascii="Arial" w:hAnsi="Arial" w:hint="default"/>
      </w:rPr>
    </w:lvl>
    <w:lvl w:ilvl="3" w:tplc="36FE3626" w:tentative="1">
      <w:start w:val="1"/>
      <w:numFmt w:val="bullet"/>
      <w:lvlText w:val="•"/>
      <w:lvlJc w:val="left"/>
      <w:pPr>
        <w:tabs>
          <w:tab w:val="num" w:pos="2880"/>
        </w:tabs>
        <w:ind w:left="2880" w:hanging="360"/>
      </w:pPr>
      <w:rPr>
        <w:rFonts w:ascii="Arial" w:hAnsi="Arial" w:hint="default"/>
      </w:rPr>
    </w:lvl>
    <w:lvl w:ilvl="4" w:tplc="AF3658D4" w:tentative="1">
      <w:start w:val="1"/>
      <w:numFmt w:val="bullet"/>
      <w:lvlText w:val="•"/>
      <w:lvlJc w:val="left"/>
      <w:pPr>
        <w:tabs>
          <w:tab w:val="num" w:pos="3600"/>
        </w:tabs>
        <w:ind w:left="3600" w:hanging="360"/>
      </w:pPr>
      <w:rPr>
        <w:rFonts w:ascii="Arial" w:hAnsi="Arial" w:hint="default"/>
      </w:rPr>
    </w:lvl>
    <w:lvl w:ilvl="5" w:tplc="1F2081C6" w:tentative="1">
      <w:start w:val="1"/>
      <w:numFmt w:val="bullet"/>
      <w:lvlText w:val="•"/>
      <w:lvlJc w:val="left"/>
      <w:pPr>
        <w:tabs>
          <w:tab w:val="num" w:pos="4320"/>
        </w:tabs>
        <w:ind w:left="4320" w:hanging="360"/>
      </w:pPr>
      <w:rPr>
        <w:rFonts w:ascii="Arial" w:hAnsi="Arial" w:hint="default"/>
      </w:rPr>
    </w:lvl>
    <w:lvl w:ilvl="6" w:tplc="2EE0A73E" w:tentative="1">
      <w:start w:val="1"/>
      <w:numFmt w:val="bullet"/>
      <w:lvlText w:val="•"/>
      <w:lvlJc w:val="left"/>
      <w:pPr>
        <w:tabs>
          <w:tab w:val="num" w:pos="5040"/>
        </w:tabs>
        <w:ind w:left="5040" w:hanging="360"/>
      </w:pPr>
      <w:rPr>
        <w:rFonts w:ascii="Arial" w:hAnsi="Arial" w:hint="default"/>
      </w:rPr>
    </w:lvl>
    <w:lvl w:ilvl="7" w:tplc="6ADC07D0" w:tentative="1">
      <w:start w:val="1"/>
      <w:numFmt w:val="bullet"/>
      <w:lvlText w:val="•"/>
      <w:lvlJc w:val="left"/>
      <w:pPr>
        <w:tabs>
          <w:tab w:val="num" w:pos="5760"/>
        </w:tabs>
        <w:ind w:left="5760" w:hanging="360"/>
      </w:pPr>
      <w:rPr>
        <w:rFonts w:ascii="Arial" w:hAnsi="Arial" w:hint="default"/>
      </w:rPr>
    </w:lvl>
    <w:lvl w:ilvl="8" w:tplc="20FA6410"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3MzEyNDE1MbQ0tjRU0lEKTi0uzszPAykwrAUAM6jVTCwAAAA="/>
  </w:docVars>
  <w:rsids>
    <w:rsidRoot w:val="00533E6F"/>
    <w:rsid w:val="00146ABC"/>
    <w:rsid w:val="003115F8"/>
    <w:rsid w:val="00533E6F"/>
    <w:rsid w:val="00582915"/>
    <w:rsid w:val="005E3EFC"/>
    <w:rsid w:val="00685E7E"/>
    <w:rsid w:val="00753710"/>
    <w:rsid w:val="00763383"/>
    <w:rsid w:val="00A42D13"/>
    <w:rsid w:val="00AA23F0"/>
    <w:rsid w:val="00D53D42"/>
    <w:rsid w:val="00D64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ABC"/>
    <w:rPr>
      <w:color w:val="0563C1" w:themeColor="hyperlink"/>
      <w:u w:val="single"/>
    </w:rPr>
  </w:style>
  <w:style w:type="paragraph" w:styleId="Header">
    <w:name w:val="header"/>
    <w:basedOn w:val="Normal"/>
    <w:link w:val="HeaderChar"/>
    <w:uiPriority w:val="99"/>
    <w:unhideWhenUsed/>
    <w:rsid w:val="00146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ABC"/>
  </w:style>
  <w:style w:type="paragraph" w:styleId="Footer">
    <w:name w:val="footer"/>
    <w:basedOn w:val="Normal"/>
    <w:link w:val="FooterChar"/>
    <w:uiPriority w:val="99"/>
    <w:unhideWhenUsed/>
    <w:rsid w:val="00146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AB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6ABC"/>
    <w:rPr>
      <w:color w:val="0563C1" w:themeColor="hyperlink"/>
      <w:u w:val="single"/>
    </w:rPr>
  </w:style>
  <w:style w:type="paragraph" w:styleId="Header">
    <w:name w:val="header"/>
    <w:basedOn w:val="Normal"/>
    <w:link w:val="HeaderChar"/>
    <w:uiPriority w:val="99"/>
    <w:unhideWhenUsed/>
    <w:rsid w:val="00146A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6ABC"/>
  </w:style>
  <w:style w:type="paragraph" w:styleId="Footer">
    <w:name w:val="footer"/>
    <w:basedOn w:val="Normal"/>
    <w:link w:val="FooterChar"/>
    <w:uiPriority w:val="99"/>
    <w:unhideWhenUsed/>
    <w:rsid w:val="00146A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6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812730">
      <w:bodyDiv w:val="1"/>
      <w:marLeft w:val="0"/>
      <w:marRight w:val="0"/>
      <w:marTop w:val="0"/>
      <w:marBottom w:val="0"/>
      <w:divBdr>
        <w:top w:val="none" w:sz="0" w:space="0" w:color="auto"/>
        <w:left w:val="none" w:sz="0" w:space="0" w:color="auto"/>
        <w:bottom w:val="none" w:sz="0" w:space="0" w:color="auto"/>
        <w:right w:val="none" w:sz="0" w:space="0" w:color="auto"/>
      </w:divBdr>
      <w:divsChild>
        <w:div w:id="1348142007">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ipo.int/wipo_magazine/en/2016/si/article_0010.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wipo.int/about-i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459</Words>
  <Characters>2621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2019-04-15T01:11:00Z</dcterms:created>
  <dcterms:modified xsi:type="dcterms:W3CDTF">2019-04-15T01:11:00Z</dcterms:modified>
</cp:coreProperties>
</file>